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left="0" w:leftChars="0" w:right="0" w:rightChars="0" w:firstLine="0" w:firstLineChars="0"/>
        <w:jc w:val="both"/>
        <w:textAlignment w:val="auto"/>
        <w:outlineLvl w:val="9"/>
        <w:rPr>
          <w:rFonts w:hint="eastAsia" w:ascii="仿宋" w:hAnsi="仿宋" w:eastAsia="仿宋" w:cs="仿宋"/>
          <w:kern w:val="0"/>
          <w:sz w:val="30"/>
          <w:szCs w:val="30"/>
          <w:lang w:val="en-US" w:eastAsia="zh-CN" w:bidi="ar"/>
        </w:rPr>
      </w:pPr>
      <w:r>
        <w:rPr>
          <w:rFonts w:hint="eastAsia" w:ascii="仿宋" w:hAnsi="仿宋" w:eastAsia="仿宋" w:cs="仿宋"/>
          <w:kern w:val="0"/>
          <w:sz w:val="30"/>
          <w:szCs w:val="30"/>
          <w:lang w:val="en-US" w:eastAsia="zh-CN" w:bidi="ar"/>
        </w:rPr>
        <w:t>附件：</w:t>
      </w:r>
    </w:p>
    <w:tbl>
      <w:tblPr>
        <w:tblStyle w:val="3"/>
        <w:tblW w:w="14003"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3632"/>
        <w:gridCol w:w="4710"/>
        <w:gridCol w:w="3261"/>
        <w:gridCol w:w="240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252" w:hRule="atLeast"/>
        </w:trPr>
        <w:tc>
          <w:tcPr>
            <w:tcW w:w="14003" w:type="dxa"/>
            <w:gridSpan w:val="4"/>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36"/>
                <w:szCs w:val="36"/>
                <w:u w:val="none"/>
                <w:lang w:val="en-US"/>
              </w:rPr>
            </w:pPr>
            <w:r>
              <w:rPr>
                <w:rStyle w:val="4"/>
                <w:lang w:val="en-US" w:eastAsia="zh-CN" w:bidi="ar"/>
              </w:rPr>
              <w:t>报价</w:t>
            </w:r>
            <w:r>
              <w:rPr>
                <w:rStyle w:val="4"/>
                <w:rFonts w:hint="eastAsia"/>
                <w:lang w:val="en-US" w:eastAsia="zh-CN" w:bidi="ar"/>
              </w:rPr>
              <w:t>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702" w:hRule="atLeast"/>
        </w:trPr>
        <w:tc>
          <w:tcPr>
            <w:tcW w:w="14003" w:type="dxa"/>
            <w:gridSpan w:val="4"/>
            <w:tcBorders>
              <w:top w:val="nil"/>
              <w:left w:val="nil"/>
              <w:bottom w:val="single" w:color="000000" w:sz="4" w:space="0"/>
              <w:right w:val="nil"/>
            </w:tcBorders>
            <w:shd w:val="clear" w:color="auto" w:fill="auto"/>
            <w:vAlign w:val="center"/>
          </w:tcPr>
          <w:p>
            <w:pPr>
              <w:keepNext w:val="0"/>
              <w:keepLines w:val="0"/>
              <w:widowControl/>
              <w:suppressLineNumbers w:val="0"/>
              <w:jc w:val="left"/>
              <w:textAlignment w:val="center"/>
              <w:rPr>
                <w:rFonts w:hint="eastAsia" w:ascii="方正仿宋_GBK" w:hAnsi="方正仿宋_GBK" w:eastAsia="方正仿宋_GBK" w:cs="方正仿宋_GBK"/>
                <w:i w:val="0"/>
                <w:iCs w:val="0"/>
                <w:color w:val="000000"/>
                <w:sz w:val="28"/>
                <w:szCs w:val="28"/>
                <w:u w:val="none"/>
              </w:rPr>
            </w:pPr>
            <w:r>
              <w:rPr>
                <w:rFonts w:hint="eastAsia" w:ascii="方正仿宋_GBK" w:hAnsi="方正仿宋_GBK" w:eastAsia="方正仿宋_GBK" w:cs="方正仿宋_GBK"/>
                <w:i w:val="0"/>
                <w:iCs w:val="0"/>
                <w:color w:val="000000"/>
                <w:kern w:val="0"/>
                <w:sz w:val="28"/>
                <w:szCs w:val="28"/>
                <w:u w:val="none"/>
                <w:lang w:val="en-US" w:eastAsia="zh-CN" w:bidi="ar"/>
              </w:rPr>
              <w:t>项目名称：成都市第六人民医院沙河院区改造提升项目项目建议书及可研报告编制服务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221" w:hRule="atLeast"/>
        </w:trPr>
        <w:tc>
          <w:tcPr>
            <w:tcW w:w="36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8"/>
                <w:szCs w:val="28"/>
                <w:u w:val="none"/>
              </w:rPr>
            </w:pPr>
            <w:r>
              <w:rPr>
                <w:rStyle w:val="5"/>
                <w:rFonts w:ascii="方正仿宋_GBK" w:hAnsi="方正仿宋_GBK" w:eastAsia="方正仿宋_GBK" w:cs="方正仿宋_GBK"/>
                <w:sz w:val="28"/>
                <w:szCs w:val="28"/>
                <w:lang w:val="en-US" w:eastAsia="zh-CN" w:bidi="ar"/>
              </w:rPr>
              <w:t>单位名称</w:t>
            </w:r>
          </w:p>
        </w:tc>
        <w:tc>
          <w:tcPr>
            <w:tcW w:w="47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8"/>
                <w:szCs w:val="28"/>
                <w:u w:val="none"/>
              </w:rPr>
            </w:pPr>
            <w:r>
              <w:rPr>
                <w:rStyle w:val="5"/>
                <w:rFonts w:ascii="方正仿宋_GBK" w:hAnsi="方正仿宋_GBK" w:eastAsia="方正仿宋_GBK" w:cs="方正仿宋_GBK"/>
                <w:sz w:val="28"/>
                <w:szCs w:val="28"/>
                <w:lang w:val="en-US" w:eastAsia="zh-CN" w:bidi="ar"/>
              </w:rPr>
              <w:t>报价</w:t>
            </w:r>
          </w:p>
        </w:tc>
        <w:tc>
          <w:tcPr>
            <w:tcW w:w="32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8"/>
                <w:szCs w:val="28"/>
                <w:u w:val="none"/>
                <w:lang w:val="en-US"/>
              </w:rPr>
            </w:pPr>
            <w:r>
              <w:rPr>
                <w:rStyle w:val="5"/>
                <w:rFonts w:hint="eastAsia" w:ascii="方正仿宋_GBK" w:hAnsi="方正仿宋_GBK" w:eastAsia="方正仿宋_GBK" w:cs="方正仿宋_GBK"/>
                <w:sz w:val="28"/>
                <w:szCs w:val="28"/>
                <w:lang w:val="en-US" w:eastAsia="zh-CN" w:bidi="ar"/>
              </w:rPr>
              <w:t>盖单位公章</w:t>
            </w:r>
          </w:p>
        </w:tc>
        <w:tc>
          <w:tcPr>
            <w:tcW w:w="24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8"/>
                <w:szCs w:val="28"/>
                <w:u w:val="none"/>
              </w:rPr>
            </w:pPr>
            <w:r>
              <w:rPr>
                <w:rStyle w:val="5"/>
                <w:rFonts w:ascii="方正仿宋_GBK" w:hAnsi="方正仿宋_GBK" w:eastAsia="方正仿宋_GBK" w:cs="方正仿宋_GBK"/>
                <w:sz w:val="28"/>
                <w:szCs w:val="28"/>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598" w:hRule="atLeast"/>
        </w:trPr>
        <w:tc>
          <w:tcPr>
            <w:tcW w:w="363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方正仿宋_GBK" w:hAnsi="方正仿宋_GBK" w:eastAsia="方正仿宋_GBK" w:cs="方正仿宋_GBK"/>
                <w:i w:val="0"/>
                <w:iCs w:val="0"/>
                <w:color w:val="000000"/>
                <w:sz w:val="28"/>
                <w:szCs w:val="28"/>
                <w:u w:val="none"/>
              </w:rPr>
            </w:pPr>
          </w:p>
        </w:tc>
        <w:tc>
          <w:tcPr>
            <w:tcW w:w="471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Lines="0" w:afterLines="0" w:line="360" w:lineRule="exact"/>
              <w:jc w:val="left"/>
              <w:textAlignment w:val="center"/>
              <w:rPr>
                <w:rFonts w:hint="eastAsia" w:ascii="方正仿宋_GBK" w:hAnsi="方正仿宋_GBK" w:eastAsia="方正仿宋_GBK" w:cs="方正仿宋_GBK"/>
                <w:i w:val="0"/>
                <w:iCs w:val="0"/>
                <w:color w:val="000000"/>
                <w:sz w:val="28"/>
                <w:szCs w:val="28"/>
                <w:u w:val="none"/>
              </w:rPr>
            </w:pPr>
            <w:r>
              <w:rPr>
                <w:rStyle w:val="6"/>
                <w:rFonts w:ascii="方正仿宋_GBK" w:hAnsi="方正仿宋_GBK" w:eastAsia="方正仿宋_GBK" w:cs="方正仿宋_GBK"/>
                <w:sz w:val="28"/>
                <w:szCs w:val="28"/>
                <w:lang w:val="en-US" w:eastAsia="zh-CN" w:bidi="ar"/>
              </w:rPr>
              <w:t>我公司愿按</w:t>
            </w:r>
            <w:r>
              <w:rPr>
                <w:rStyle w:val="7"/>
                <w:rFonts w:ascii="方正仿宋_GBK" w:hAnsi="方正仿宋_GBK" w:eastAsia="方正仿宋_GBK" w:cs="方正仿宋_GBK"/>
                <w:sz w:val="28"/>
                <w:szCs w:val="28"/>
                <w:u w:val="none"/>
                <w:lang w:val="en-US" w:eastAsia="zh-CN" w:bidi="ar"/>
              </w:rPr>
              <w:t xml:space="preserve">                </w:t>
            </w:r>
            <w:r>
              <w:rPr>
                <w:rStyle w:val="6"/>
                <w:rFonts w:ascii="方正仿宋_GBK" w:hAnsi="方正仿宋_GBK" w:eastAsia="方正仿宋_GBK" w:cs="方正仿宋_GBK"/>
                <w:sz w:val="28"/>
                <w:szCs w:val="28"/>
                <w:lang w:val="en-US" w:eastAsia="zh-CN" w:bidi="ar"/>
              </w:rPr>
              <w:t>元的价格承担</w:t>
            </w:r>
            <w:r>
              <w:rPr>
                <w:rFonts w:hint="eastAsia" w:ascii="方正仿宋_GBK" w:hAnsi="方正仿宋_GBK" w:eastAsia="方正仿宋_GBK" w:cs="方正仿宋_GBK"/>
                <w:i w:val="0"/>
                <w:iCs w:val="0"/>
                <w:color w:val="000000"/>
                <w:kern w:val="0"/>
                <w:sz w:val="28"/>
                <w:szCs w:val="28"/>
                <w:u w:val="none"/>
                <w:lang w:val="en-US" w:eastAsia="zh-CN" w:bidi="ar"/>
              </w:rPr>
              <w:t>成都市第六人民医院沙河院区改造提升项目</w:t>
            </w:r>
            <w:r>
              <w:rPr>
                <w:rStyle w:val="6"/>
                <w:rFonts w:hint="eastAsia" w:ascii="方正仿宋_GBK" w:hAnsi="方正仿宋_GBK" w:eastAsia="方正仿宋_GBK" w:cs="方正仿宋_GBK"/>
                <w:sz w:val="28"/>
                <w:szCs w:val="28"/>
                <w:lang w:val="en-US" w:eastAsia="zh-CN" w:bidi="ar"/>
              </w:rPr>
              <w:t>项目建议书及可研报告编制服务</w:t>
            </w:r>
            <w:r>
              <w:rPr>
                <w:rStyle w:val="6"/>
                <w:rFonts w:ascii="方正仿宋_GBK" w:hAnsi="方正仿宋_GBK" w:eastAsia="方正仿宋_GBK" w:cs="方正仿宋_GBK"/>
                <w:sz w:val="28"/>
                <w:szCs w:val="28"/>
                <w:lang w:val="en-US" w:eastAsia="zh-CN" w:bidi="ar"/>
              </w:rPr>
              <w:t>的全</w:t>
            </w:r>
            <w:bookmarkStart w:id="0" w:name="_GoBack"/>
            <w:bookmarkEnd w:id="0"/>
            <w:r>
              <w:rPr>
                <w:rStyle w:val="6"/>
                <w:rFonts w:ascii="方正仿宋_GBK" w:hAnsi="方正仿宋_GBK" w:eastAsia="方正仿宋_GBK" w:cs="方正仿宋_GBK"/>
                <w:sz w:val="28"/>
                <w:szCs w:val="28"/>
                <w:lang w:val="en-US" w:eastAsia="zh-CN" w:bidi="ar"/>
              </w:rPr>
              <w:t>部工作，</w:t>
            </w:r>
            <w:r>
              <w:rPr>
                <w:rStyle w:val="6"/>
                <w:rFonts w:hint="eastAsia" w:ascii="方正仿宋_GBK" w:hAnsi="方正仿宋_GBK" w:eastAsia="方正仿宋_GBK" w:cs="方正仿宋_GBK"/>
                <w:sz w:val="28"/>
                <w:szCs w:val="28"/>
                <w:lang w:val="en-US" w:eastAsia="zh-CN" w:bidi="ar"/>
              </w:rPr>
              <w:t>本次报价为一次性总报价，包括但不限于人工、调研、编制、专家评审费、修订、资料整理、税费等所有相关费用</w:t>
            </w:r>
            <w:r>
              <w:rPr>
                <w:rStyle w:val="6"/>
                <w:rFonts w:ascii="方正仿宋_GBK" w:hAnsi="方正仿宋_GBK" w:eastAsia="方正仿宋_GBK" w:cs="方正仿宋_GBK"/>
                <w:sz w:val="28"/>
                <w:szCs w:val="28"/>
                <w:lang w:val="en-US" w:eastAsia="zh-CN" w:bidi="ar"/>
              </w:rPr>
              <w:t>。</w:t>
            </w:r>
          </w:p>
        </w:tc>
        <w:tc>
          <w:tcPr>
            <w:tcW w:w="3261" w:type="dxa"/>
            <w:tcBorders>
              <w:top w:val="nil"/>
              <w:left w:val="single" w:color="000000" w:sz="4" w:space="0"/>
              <w:bottom w:val="single" w:color="000000" w:sz="4" w:space="0"/>
              <w:right w:val="single" w:color="000000" w:sz="4" w:space="0"/>
            </w:tcBorders>
            <w:shd w:val="clear" w:color="auto" w:fill="auto"/>
            <w:vAlign w:val="center"/>
          </w:tcPr>
          <w:p>
            <w:pPr>
              <w:jc w:val="center"/>
              <w:rPr>
                <w:rFonts w:hint="eastAsia" w:ascii="方正仿宋_GBK" w:hAnsi="方正仿宋_GBK" w:eastAsia="方正仿宋_GBK" w:cs="方正仿宋_GBK"/>
                <w:i w:val="0"/>
                <w:iCs w:val="0"/>
                <w:color w:val="000000"/>
                <w:sz w:val="28"/>
                <w:szCs w:val="28"/>
                <w:u w:val="none"/>
              </w:rPr>
            </w:pPr>
          </w:p>
        </w:tc>
        <w:tc>
          <w:tcPr>
            <w:tcW w:w="2400" w:type="dxa"/>
            <w:tcBorders>
              <w:top w:val="nil"/>
              <w:left w:val="single" w:color="000000" w:sz="4" w:space="0"/>
              <w:bottom w:val="single" w:color="000000" w:sz="4" w:space="0"/>
              <w:right w:val="single" w:color="000000" w:sz="4" w:space="0"/>
            </w:tcBorders>
            <w:shd w:val="clear" w:color="auto" w:fill="auto"/>
            <w:vAlign w:val="center"/>
          </w:tcPr>
          <w:p>
            <w:pPr>
              <w:jc w:val="center"/>
              <w:rPr>
                <w:rFonts w:hint="eastAsia" w:ascii="方正仿宋_GBK" w:hAnsi="方正仿宋_GBK" w:eastAsia="方正仿宋_GBK" w:cs="方正仿宋_GBK"/>
                <w:i w:val="0"/>
                <w:iCs w:val="0"/>
                <w:color w:val="000000"/>
                <w:sz w:val="28"/>
                <w:szCs w:val="2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90" w:hRule="atLeast"/>
        </w:trPr>
        <w:tc>
          <w:tcPr>
            <w:tcW w:w="14003" w:type="dxa"/>
            <w:gridSpan w:val="4"/>
            <w:tcBorders>
              <w:top w:val="single" w:color="000000" w:sz="4" w:space="0"/>
              <w:left w:val="nil"/>
              <w:bottom w:val="nil"/>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exact"/>
              <w:ind w:left="0" w:leftChars="0" w:right="0" w:rightChars="0" w:firstLine="0" w:firstLineChars="0"/>
              <w:jc w:val="both"/>
              <w:textAlignment w:val="auto"/>
              <w:outlineLvl w:val="9"/>
              <w:rPr>
                <w:rStyle w:val="5"/>
                <w:rFonts w:ascii="方正仿宋_GBK" w:hAnsi="方正仿宋_GBK" w:eastAsia="方正仿宋_GBK" w:cs="方正仿宋_GBK"/>
                <w:color w:val="000000"/>
                <w:sz w:val="24"/>
                <w:szCs w:val="24"/>
                <w:lang w:bidi="ar"/>
              </w:rPr>
            </w:pPr>
            <w:r>
              <w:rPr>
                <w:rStyle w:val="5"/>
                <w:rFonts w:ascii="方正仿宋_GBK" w:hAnsi="方正仿宋_GBK" w:eastAsia="方正仿宋_GBK" w:cs="方正仿宋_GBK"/>
                <w:sz w:val="24"/>
                <w:szCs w:val="24"/>
                <w:lang w:val="en-US" w:eastAsia="zh-CN" w:bidi="ar"/>
              </w:rPr>
              <w:t>注：</w:t>
            </w:r>
            <w:r>
              <w:rPr>
                <w:rStyle w:val="5"/>
                <w:rFonts w:ascii="方正仿宋_GBK" w:hAnsi="方正仿宋_GBK" w:eastAsia="方正仿宋_GBK" w:cs="方正仿宋_GBK"/>
                <w:sz w:val="24"/>
                <w:szCs w:val="24"/>
                <w:lang w:val="en-US" w:eastAsia="zh-CN" w:bidi="ar"/>
              </w:rPr>
              <w:br w:type="textWrapping"/>
            </w:r>
            <w:r>
              <w:rPr>
                <w:rStyle w:val="8"/>
                <w:rFonts w:ascii="方正仿宋_GBK" w:hAnsi="方正仿宋_GBK" w:eastAsia="方正仿宋_GBK" w:cs="方正仿宋_GBK"/>
                <w:b/>
                <w:bCs/>
                <w:sz w:val="24"/>
                <w:szCs w:val="24"/>
                <w:lang w:val="en-US" w:eastAsia="zh-CN" w:bidi="ar"/>
              </w:rPr>
              <w:t>1.</w:t>
            </w:r>
            <w:r>
              <w:rPr>
                <w:rStyle w:val="5"/>
                <w:rFonts w:ascii="方正仿宋_GBK" w:hAnsi="方正仿宋_GBK" w:eastAsia="方正仿宋_GBK" w:cs="方正仿宋_GBK"/>
                <w:b/>
                <w:bCs/>
                <w:color w:val="000000"/>
                <w:sz w:val="24"/>
                <w:szCs w:val="24"/>
              </w:rPr>
              <w:t>项目概况：</w:t>
            </w:r>
            <w:r>
              <w:rPr>
                <w:rStyle w:val="5"/>
                <w:rFonts w:ascii="方正仿宋_GBK" w:hAnsi="方正仿宋_GBK" w:eastAsia="方正仿宋_GBK" w:cs="方正仿宋_GBK"/>
                <w:color w:val="000000"/>
                <w:sz w:val="24"/>
                <w:szCs w:val="24"/>
              </w:rPr>
              <w:t>本项目核心内容包括新建综合住院楼及外科楼改造提升两部分。其中，新建工程为拆除内科一号楼后，建设集门急诊、医技及住院功能为一体的综合住院楼，总建筑面积约43660㎡，规划为地上17层、地下3层，配套建设车位200个；外科楼提升改造，重点涵盖病房环境与设施条件改善、适老化与便利化建设，以及强弱电系统、空调系统、消防设施等基础设施升级改造。</w:t>
            </w:r>
          </w:p>
          <w:p>
            <w:pPr>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exact"/>
              <w:ind w:left="0" w:leftChars="0" w:right="0" w:rightChars="0" w:firstLine="0" w:firstLineChars="0"/>
              <w:jc w:val="both"/>
              <w:textAlignment w:val="auto"/>
              <w:outlineLvl w:val="9"/>
              <w:rPr>
                <w:rStyle w:val="5"/>
                <w:rFonts w:ascii="方正仿宋_GBK" w:hAnsi="方正仿宋_GBK" w:eastAsia="方正仿宋_GBK" w:cs="方正仿宋_GBK"/>
                <w:color w:val="000000"/>
                <w:sz w:val="24"/>
                <w:szCs w:val="24"/>
              </w:rPr>
            </w:pPr>
            <w:r>
              <w:rPr>
                <w:rStyle w:val="5"/>
                <w:rFonts w:hint="eastAsia" w:ascii="方正仿宋_GBK" w:hAnsi="方正仿宋_GBK" w:eastAsia="方正仿宋_GBK" w:cs="方正仿宋_GBK"/>
                <w:b/>
                <w:bCs/>
                <w:color w:val="000000"/>
                <w:sz w:val="24"/>
                <w:szCs w:val="24"/>
                <w:lang w:val="en-US" w:eastAsia="zh-CN"/>
              </w:rPr>
              <w:t>2.</w:t>
            </w:r>
            <w:r>
              <w:rPr>
                <w:rStyle w:val="5"/>
                <w:rFonts w:ascii="方正仿宋_GBK" w:hAnsi="方正仿宋_GBK" w:eastAsia="方正仿宋_GBK" w:cs="方正仿宋_GBK"/>
                <w:b/>
                <w:bCs/>
                <w:color w:val="000000"/>
                <w:sz w:val="24"/>
                <w:szCs w:val="24"/>
              </w:rPr>
              <w:t>服务内容：</w:t>
            </w:r>
            <w:r>
              <w:rPr>
                <w:rStyle w:val="5"/>
                <w:rFonts w:ascii="方正仿宋_GBK" w:hAnsi="方正仿宋_GBK" w:eastAsia="方正仿宋_GBK" w:cs="方正仿宋_GBK"/>
                <w:color w:val="000000"/>
                <w:sz w:val="24"/>
                <w:szCs w:val="24"/>
              </w:rPr>
              <w:t>编制本项目的项目建议书和可行性研究报告，编制成果需符合国家、地方相关法律法规及行业标准，达到政府主管部门立项审批的专业深度和技术要求；评审及修订过程中需积极配合甲方及相关部门要求，高效完成修改完善工作，确保顺利协助采购人取得项目批复。</w:t>
            </w:r>
          </w:p>
          <w:p>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right="0" w:rightChars="0" w:firstLine="0" w:firstLineChars="0"/>
              <w:jc w:val="left"/>
              <w:textAlignment w:val="center"/>
              <w:rPr>
                <w:rFonts w:hint="eastAsia" w:ascii="方正仿宋_GBK" w:hAnsi="方正仿宋_GBK" w:eastAsia="方正仿宋_GBK" w:cs="方正仿宋_GBK"/>
                <w:i w:val="0"/>
                <w:iCs w:val="0"/>
                <w:color w:val="000000"/>
                <w:sz w:val="28"/>
                <w:szCs w:val="28"/>
                <w:u w:val="none"/>
              </w:rPr>
            </w:pPr>
            <w:r>
              <w:rPr>
                <w:rStyle w:val="5"/>
                <w:rFonts w:hint="eastAsia" w:ascii="方正仿宋_GBK" w:hAnsi="方正仿宋_GBK" w:eastAsia="方正仿宋_GBK" w:cs="方正仿宋_GBK"/>
                <w:b/>
                <w:bCs/>
                <w:color w:val="000000"/>
                <w:sz w:val="24"/>
                <w:szCs w:val="24"/>
                <w:lang w:val="en-US" w:eastAsia="zh-CN"/>
              </w:rPr>
              <w:t>3.</w:t>
            </w:r>
            <w:r>
              <w:rPr>
                <w:rStyle w:val="5"/>
                <w:rFonts w:ascii="方正仿宋_GBK" w:hAnsi="方正仿宋_GBK" w:eastAsia="方正仿宋_GBK" w:cs="方正仿宋_GBK"/>
                <w:b/>
                <w:bCs/>
                <w:color w:val="000000"/>
                <w:sz w:val="24"/>
                <w:szCs w:val="24"/>
              </w:rPr>
              <w:t>项目地址：</w:t>
            </w:r>
            <w:r>
              <w:rPr>
                <w:rStyle w:val="5"/>
                <w:rFonts w:ascii="方正仿宋_GBK" w:hAnsi="方正仿宋_GBK" w:eastAsia="方正仿宋_GBK" w:cs="方正仿宋_GBK"/>
                <w:color w:val="000000"/>
                <w:sz w:val="24"/>
                <w:szCs w:val="24"/>
              </w:rPr>
              <w:t>成都市成华区建设南街16号。</w:t>
            </w:r>
          </w:p>
        </w:tc>
      </w:tr>
    </w:tbl>
    <w:p>
      <w:pPr/>
    </w:p>
    <w:sectPr>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modern"/>
    <w:pitch w:val="default"/>
    <w:sig w:usb0="E00006FF" w:usb1="400004FF" w:usb2="00000000" w:usb3="00000000" w:csb0="2000019F" w:csb1="00000000"/>
  </w:font>
  <w:font w:name="Calibri">
    <w:panose1 w:val="020F0502020204030204"/>
    <w:charset w:val="00"/>
    <w:family w:val="decorative"/>
    <w:pitch w:val="default"/>
    <w:sig w:usb0="E0002AFF" w:usb1="C000247B" w:usb2="00000009" w:usb3="00000000" w:csb0="200001FF" w:csb1="00000000"/>
  </w:font>
  <w:font w:name="Arial">
    <w:panose1 w:val="020B0604020202020204"/>
    <w:charset w:val="01"/>
    <w:family w:val="decorative"/>
    <w:pitch w:val="default"/>
    <w:sig w:usb0="E0002EFF" w:usb1="C0007843" w:usb2="00000009" w:usb3="00000000" w:csb0="400001FF" w:csb1="FFFF0000"/>
  </w:font>
  <w:font w:name="Courier New">
    <w:panose1 w:val="02070309020205020404"/>
    <w:charset w:val="01"/>
    <w:family w:val="swiss"/>
    <w:pitch w:val="default"/>
    <w:sig w:usb0="E0002EFF" w:usb1="C0007843" w:usb2="00000009" w:usb3="00000000" w:csb0="400001FF" w:csb1="FFFF0000"/>
  </w:font>
  <w:font w:name="Symbol">
    <w:panose1 w:val="05050102010706020507"/>
    <w:charset w:val="02"/>
    <w:family w:val="modern"/>
    <w:pitch w:val="default"/>
    <w:sig w:usb0="00000000" w:usb1="00000000" w:usb2="00000000" w:usb3="00000000" w:csb0="80000000" w:csb1="00000000"/>
  </w:font>
  <w:font w:name="Cambria">
    <w:panose1 w:val="02040503050406030204"/>
    <w:charset w:val="00"/>
    <w:family w:val="swiss"/>
    <w:pitch w:val="default"/>
    <w:sig w:usb0="E00006FF" w:usb1="400004FF" w:usb2="00000000" w:usb3="00000000" w:csb0="2000019F" w:csb1="00000000"/>
  </w:font>
  <w:font w:name="Calibri">
    <w:panose1 w:val="020F0502020204030204"/>
    <w:charset w:val="00"/>
    <w:family w:val="roman"/>
    <w:pitch w:val="default"/>
    <w:sig w:usb0="E0002AFF" w:usb1="C000247B" w:usb2="00000009" w:usb3="00000000" w:csb0="200001FF" w:csb1="00000000"/>
  </w:font>
  <w:font w:name="Arial">
    <w:panose1 w:val="020B0604020202020204"/>
    <w:charset w:val="01"/>
    <w:family w:val="roman"/>
    <w:pitch w:val="default"/>
    <w:sig w:usb0="E0002EFF" w:usb1="C0007843" w:usb2="00000009" w:usb3="00000000" w:csb0="400001FF" w:csb1="FFFF0000"/>
  </w:font>
  <w:font w:name="Courier New">
    <w:panose1 w:val="02070309020205020404"/>
    <w:charset w:val="01"/>
    <w:family w:val="decorative"/>
    <w:pitch w:val="default"/>
    <w:sig w:usb0="E0002EFF" w:usb1="C0007843" w:usb2="00000009" w:usb3="00000000" w:csb0="400001FF" w:csb1="FFFF0000"/>
  </w:font>
  <w:font w:name="Symbol">
    <w:panose1 w:val="05050102010706020507"/>
    <w:charset w:val="02"/>
    <w:family w:val="swiss"/>
    <w:pitch w:val="default"/>
    <w:sig w:usb0="00000000" w:usb1="00000000" w:usb2="00000000" w:usb3="00000000" w:csb0="80000000" w:csb1="00000000"/>
  </w:font>
  <w:font w:name="Cambria">
    <w:panose1 w:val="02040503050406030204"/>
    <w:charset w:val="00"/>
    <w:family w:val="decorative"/>
    <w:pitch w:val="default"/>
    <w:sig w:usb0="E00006FF" w:usb1="400004FF" w:usb2="00000000" w:usb3="00000000" w:csb0="2000019F" w:csb1="00000000"/>
  </w:font>
  <w:font w:name="Calibri">
    <w:panose1 w:val="020F0502020204030204"/>
    <w:charset w:val="00"/>
    <w:family w:val="modern"/>
    <w:pitch w:val="default"/>
    <w:sig w:usb0="E0002AFF" w:usb1="C000247B" w:usb2="00000009" w:usb3="00000000" w:csb0="200001FF" w:csb1="00000000"/>
  </w:font>
  <w:font w:name="Arial">
    <w:panose1 w:val="020B0604020202020204"/>
    <w:charset w:val="01"/>
    <w:family w:val="modern"/>
    <w:pitch w:val="default"/>
    <w:sig w:usb0="E0002EFF" w:usb1="C0007843" w:usb2="00000009" w:usb3="00000000" w:csb0="400001FF" w:csb1="FFFF0000"/>
  </w:font>
  <w:font w:name="Courier New">
    <w:panose1 w:val="02070309020205020404"/>
    <w:charset w:val="01"/>
    <w:family w:val="roman"/>
    <w:pitch w:val="default"/>
    <w:sig w:usb0="E0002EFF" w:usb1="C0007843" w:usb2="00000009" w:usb3="00000000" w:csb0="400001FF" w:csb1="FFFF0000"/>
  </w:font>
  <w:font w:name="Symbol">
    <w:panose1 w:val="05050102010706020507"/>
    <w:charset w:val="02"/>
    <w:family w:val="decorative"/>
    <w:pitch w:val="default"/>
    <w:sig w:usb0="00000000" w:usb1="00000000" w:usb2="00000000" w:usb3="00000000" w:csb0="80000000" w:csb1="00000000"/>
  </w:font>
  <w:font w:name="方正小标宋简体">
    <w:panose1 w:val="02010601030101010101"/>
    <w:charset w:val="86"/>
    <w:family w:val="auto"/>
    <w:pitch w:val="default"/>
    <w:sig w:usb0="00000001" w:usb1="080E0000" w:usb2="00000000" w:usb3="00000000" w:csb0="00040000" w:csb1="00000000"/>
  </w:font>
  <w:font w:name="方正小标宋_GBK">
    <w:panose1 w:val="03000509000000000000"/>
    <w:charset w:val="86"/>
    <w:family w:val="script"/>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方正仿宋_GBK">
    <w:panose1 w:val="03000509000000000000"/>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方正仿宋">
    <w:altName w:val="仿宋"/>
    <w:panose1 w:val="03000509000000000000"/>
    <w:charset w:val="86"/>
    <w:family w:val="auto"/>
    <w:pitch w:val="default"/>
    <w:sig w:usb0="00000000" w:usb1="00000000" w:usb2="00000000" w:usb3="00000000" w:csb0="00040000" w:csb1="00000000"/>
  </w:font>
  <w:font w:name="仿宋_GB231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40E37815"/>
    <w:rsid w:val="42220FF3"/>
  </w:rsid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2">
    <w:name w:val="Default Paragraph Font"/>
    <w:semiHidden/>
    <w:uiPriority w:val="0"/>
  </w:style>
  <w:style w:type="table" w:default="1" w:styleId="3">
    <w:name w:val="Normal Table"/>
    <w:semiHidden/>
    <w:qFormat/>
    <w:uiPriority w:val="0"/>
    <w:tblPr>
      <w:tblLayout w:type="fixed"/>
      <w:tblCellMar>
        <w:top w:w="0" w:type="dxa"/>
        <w:left w:w="108" w:type="dxa"/>
        <w:bottom w:w="0" w:type="dxa"/>
        <w:right w:w="108" w:type="dxa"/>
      </w:tblCellMar>
    </w:tblPr>
  </w:style>
  <w:style w:type="character" w:customStyle="1" w:styleId="4">
    <w:name w:val="font81"/>
    <w:basedOn w:val="2"/>
    <w:qFormat/>
    <w:uiPriority w:val="0"/>
    <w:rPr>
      <w:rFonts w:hint="eastAsia" w:ascii="宋体" w:hAnsi="宋体" w:eastAsia="宋体" w:cs="宋体"/>
      <w:b/>
      <w:bCs/>
      <w:color w:val="000000"/>
      <w:sz w:val="36"/>
      <w:szCs w:val="36"/>
      <w:u w:val="none"/>
    </w:rPr>
  </w:style>
  <w:style w:type="character" w:customStyle="1" w:styleId="5">
    <w:name w:val="font71"/>
    <w:basedOn w:val="2"/>
    <w:qFormat/>
    <w:uiPriority w:val="0"/>
    <w:rPr>
      <w:rFonts w:hint="eastAsia" w:ascii="宋体" w:hAnsi="宋体" w:eastAsia="宋体" w:cs="宋体"/>
      <w:color w:val="000000"/>
      <w:sz w:val="22"/>
      <w:szCs w:val="22"/>
      <w:u w:val="none"/>
    </w:rPr>
  </w:style>
  <w:style w:type="character" w:customStyle="1" w:styleId="6">
    <w:name w:val="font01"/>
    <w:basedOn w:val="2"/>
    <w:qFormat/>
    <w:uiPriority w:val="0"/>
    <w:rPr>
      <w:rFonts w:hint="eastAsia" w:ascii="宋体" w:hAnsi="宋体" w:eastAsia="宋体" w:cs="宋体"/>
      <w:color w:val="000000"/>
      <w:sz w:val="24"/>
      <w:szCs w:val="24"/>
      <w:u w:val="none"/>
    </w:rPr>
  </w:style>
  <w:style w:type="character" w:customStyle="1" w:styleId="7">
    <w:name w:val="font101"/>
    <w:basedOn w:val="2"/>
    <w:qFormat/>
    <w:uiPriority w:val="0"/>
    <w:rPr>
      <w:rFonts w:hint="eastAsia" w:ascii="宋体" w:hAnsi="宋体" w:eastAsia="宋体" w:cs="宋体"/>
      <w:color w:val="000000"/>
      <w:sz w:val="24"/>
      <w:szCs w:val="24"/>
      <w:u w:val="single"/>
    </w:rPr>
  </w:style>
  <w:style w:type="character" w:customStyle="1" w:styleId="8">
    <w:name w:val="font112"/>
    <w:basedOn w:val="2"/>
    <w:uiPriority w:val="0"/>
    <w:rPr>
      <w:rFonts w:hint="eastAsia" w:ascii="宋体" w:hAnsi="宋体" w:eastAsia="宋体" w:cs="宋体"/>
      <w:b/>
      <w:bCs/>
      <w:color w:val="000000"/>
      <w:sz w:val="22"/>
      <w:szCs w:val="22"/>
      <w:u w:val="non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Office_10.8.0.5562_F1E327BC-269C-435d-A152-05C5408002CA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2025-12-30T08:40:00Z</dcterms:created>
  <dc:creator>Administrator</dc:creator>
  <cp:lastModifiedBy>Administrator</cp:lastModifiedBy>
  <dcterms:modified xsi:type="dcterms:W3CDTF">2025-12-30T09:07:34Z</dcterms:modified>
  <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2052-10.8.0.5562</vt:lpwstr>
  </property>
</Properties>
</file>