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A0E81">
      <w:pPr>
        <w:pStyle w:val="2"/>
        <w:keepNext w:val="0"/>
        <w:keepLines w:val="0"/>
        <w:widowControl/>
        <w:suppressLineNumbers w:val="0"/>
        <w:shd w:val="clear" w:fill="FFFFFF"/>
        <w:spacing w:before="240" w:beforeAutospacing="0" w:after="120" w:afterAutospacing="0" w:line="225" w:lineRule="atLeast"/>
        <w:ind w:left="0" w:right="0" w:firstLine="0"/>
        <w:rPr>
          <w:rFonts w:hint="eastAsia" w:ascii="方正小标宋_GBK" w:hAnsi="方正小标宋_GBK" w:eastAsia="方正小标宋_GBK" w:cs="方正小标宋_GBK"/>
          <w:b w:val="0"/>
          <w:bCs w:val="0"/>
          <w:caps w:val="0"/>
          <w:color w:val="0F1115"/>
          <w:spacing w:val="0"/>
          <w:sz w:val="28"/>
          <w:szCs w:val="28"/>
          <w:shd w:val="clear" w:fill="FFFFFF"/>
          <w:lang w:val="en-US" w:eastAsia="zh-CN"/>
        </w:rPr>
      </w:pPr>
      <w:r>
        <w:rPr>
          <w:rFonts w:hint="eastAsia" w:ascii="方正小标宋_GBK" w:hAnsi="方正小标宋_GBK" w:eastAsia="方正小标宋_GBK" w:cs="方正小标宋_GBK"/>
          <w:b w:val="0"/>
          <w:bCs w:val="0"/>
          <w:caps w:val="0"/>
          <w:color w:val="0F1115"/>
          <w:spacing w:val="0"/>
          <w:sz w:val="28"/>
          <w:szCs w:val="28"/>
          <w:shd w:val="clear" w:fill="FFFFFF"/>
          <w:lang w:val="en-US" w:eastAsia="zh-CN"/>
        </w:rPr>
        <w:t>附件3</w:t>
      </w:r>
    </w:p>
    <w:p w14:paraId="52D50815">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成都市公立医疗机构采购联盟</w:t>
      </w:r>
    </w:p>
    <w:p w14:paraId="027E8658">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2026年一次性使用医用橡胶检查手套</w:t>
      </w:r>
    </w:p>
    <w:p w14:paraId="467B257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入围产品资格要求</w:t>
      </w:r>
    </w:p>
    <w:p w14:paraId="67679AB2">
      <w:pPr>
        <w:keepNext w:val="0"/>
        <w:keepLines w:val="0"/>
        <w:pageBreakBefore w:val="0"/>
        <w:numPr>
          <w:ilvl w:val="0"/>
          <w:numId w:val="0"/>
        </w:numPr>
        <w:shd w:val="clear"/>
        <w:tabs>
          <w:tab w:val="left" w:pos="216"/>
        </w:tabs>
        <w:kinsoku/>
        <w:wordWrap/>
        <w:overflowPunct/>
        <w:topLinePunct w:val="0"/>
        <w:autoSpaceDE/>
        <w:autoSpaceDN/>
        <w:bidi w:val="0"/>
        <w:adjustRightInd w:val="0"/>
        <w:snapToGrid w:val="0"/>
        <w:spacing w:line="500"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一、企业资质</w:t>
      </w:r>
    </w:p>
    <w:p w14:paraId="5B637A3D">
      <w:pPr>
        <w:keepNext w:val="0"/>
        <w:keepLines w:val="0"/>
        <w:pageBreakBefore w:val="0"/>
        <w:numPr>
          <w:ilvl w:val="0"/>
          <w:numId w:val="0"/>
        </w:numPr>
        <w:shd w:val="clear"/>
        <w:tabs>
          <w:tab w:val="left" w:pos="216"/>
        </w:tabs>
        <w:kinsoku/>
        <w:wordWrap/>
        <w:overflowPunct/>
        <w:topLinePunct w:val="0"/>
        <w:autoSpaceDE/>
        <w:autoSpaceDN/>
        <w:bidi w:val="0"/>
        <w:adjustRightInd w:val="0"/>
        <w:snapToGrid w:val="0"/>
        <w:spacing w:line="50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（一）生产企业生产经营许可证</w:t>
      </w:r>
    </w:p>
    <w:p w14:paraId="07DD7346">
      <w:pPr>
        <w:keepNext w:val="0"/>
        <w:keepLines w:val="0"/>
        <w:pageBreakBefore w:val="0"/>
        <w:numPr>
          <w:ilvl w:val="0"/>
          <w:numId w:val="0"/>
        </w:numPr>
        <w:shd w:val="clear"/>
        <w:tabs>
          <w:tab w:val="left" w:pos="216"/>
        </w:tabs>
        <w:kinsoku/>
        <w:wordWrap/>
        <w:overflowPunct/>
        <w:topLinePunct w:val="0"/>
        <w:autoSpaceDE/>
        <w:autoSpaceDN/>
        <w:bidi w:val="0"/>
        <w:adjustRightInd w:val="0"/>
        <w:snapToGrid w:val="0"/>
        <w:spacing w:line="50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（二）人员授权</w:t>
      </w:r>
    </w:p>
    <w:p w14:paraId="29416B51">
      <w:pPr>
        <w:keepNext w:val="0"/>
        <w:keepLines w:val="0"/>
        <w:pageBreakBefore w:val="0"/>
        <w:numPr>
          <w:ilvl w:val="0"/>
          <w:numId w:val="0"/>
        </w:numPr>
        <w:shd w:val="clear"/>
        <w:kinsoku/>
        <w:wordWrap/>
        <w:overflowPunct/>
        <w:topLinePunct w:val="0"/>
        <w:autoSpaceDE/>
        <w:autoSpaceDN/>
        <w:bidi w:val="0"/>
        <w:adjustRightInd w:val="0"/>
        <w:snapToGrid w:val="0"/>
        <w:spacing w:line="50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（三）产品授权（四川省总代理提供）</w:t>
      </w:r>
    </w:p>
    <w:p w14:paraId="5CB54CD5">
      <w:pPr>
        <w:keepNext w:val="0"/>
        <w:keepLines w:val="0"/>
        <w:pageBreakBefore w:val="0"/>
        <w:numPr>
          <w:ilvl w:val="0"/>
          <w:numId w:val="0"/>
        </w:numPr>
        <w:shd w:val="clear"/>
        <w:kinsoku/>
        <w:wordWrap/>
        <w:overflowPunct/>
        <w:topLinePunct w:val="0"/>
        <w:autoSpaceDE/>
        <w:autoSpaceDN/>
        <w:bidi w:val="0"/>
        <w:adjustRightInd w:val="0"/>
        <w:snapToGrid w:val="0"/>
        <w:spacing w:line="50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（四）质量管理体系认证</w:t>
      </w:r>
    </w:p>
    <w:p w14:paraId="128DF561">
      <w:pPr>
        <w:keepNext w:val="0"/>
        <w:keepLines w:val="0"/>
        <w:pageBreakBefore w:val="0"/>
        <w:numPr>
          <w:ilvl w:val="0"/>
          <w:numId w:val="0"/>
        </w:numPr>
        <w:shd w:val="clear"/>
        <w:kinsoku/>
        <w:wordWrap/>
        <w:overflowPunct/>
        <w:topLinePunct w:val="0"/>
        <w:autoSpaceDE/>
        <w:autoSpaceDN/>
        <w:bidi w:val="0"/>
        <w:adjustRightInd w:val="0"/>
        <w:snapToGrid w:val="0"/>
        <w:spacing w:line="50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（五）生产企业及代理商未列入国家医疗保障局价格招采信用评价失信名单</w:t>
      </w:r>
    </w:p>
    <w:p w14:paraId="123D54B9">
      <w:pPr>
        <w:keepNext w:val="0"/>
        <w:keepLines w:val="0"/>
        <w:pageBreakBefore w:val="0"/>
        <w:numPr>
          <w:ilvl w:val="0"/>
          <w:numId w:val="0"/>
        </w:numPr>
        <w:shd w:val="clear"/>
        <w:kinsoku/>
        <w:wordWrap/>
        <w:overflowPunct/>
        <w:topLinePunct w:val="0"/>
        <w:autoSpaceDE/>
        <w:autoSpaceDN/>
        <w:bidi w:val="0"/>
        <w:adjustRightInd w:val="0"/>
        <w:snapToGrid w:val="0"/>
        <w:spacing w:line="500"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二、产品要求</w:t>
      </w:r>
    </w:p>
    <w:p w14:paraId="5D905F55">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（一）医疗器械注册证（二类），产品应为最终灭菌产品，有效期≥2年。</w:t>
      </w:r>
    </w:p>
    <w:p w14:paraId="6057C51D">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（二）产品质量要求</w:t>
      </w:r>
    </w:p>
    <w:p w14:paraId="08A5AF2A">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供应商提供的产品以下内容应当达到GB24788—2009医用手套表面残余粉末、水抽提蛋白质限量和GB 10213-2006/IS0 11193-1:2002一次性使用医用橡胶检查手套标准。以下内容应当提供CMA或CNAS认证的第三方检测机构的报告，反映相关指标满足标准要求。</w:t>
      </w:r>
    </w:p>
    <w:p w14:paraId="7B026CF3">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1. 水抽提蛋白质限量；</w:t>
      </w:r>
    </w:p>
    <w:p w14:paraId="6DB9CD5B">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2. 微生物指标；</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br w:type="textWrapping"/>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3. 表面残余粉末限量；</w:t>
      </w:r>
    </w:p>
    <w:p w14:paraId="1606C7B8">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4. 环氧乙烷残留量；</w:t>
      </w:r>
    </w:p>
    <w:p w14:paraId="05B7C567">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5.物理尺寸(宽度、长度、厚度)；</w:t>
      </w:r>
    </w:p>
    <w:p w14:paraId="5CCD91FC">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6.不透水性；</w:t>
      </w:r>
    </w:p>
    <w:p w14:paraId="2CBF5FCB">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7.扯断力和拉断伸长率(老化前和老化后)。</w:t>
      </w:r>
    </w:p>
    <w:p w14:paraId="69A450EF">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产品</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质量达到GB/T 10213-2025一次性使用医用橡胶检查手套标准的要求的，</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提供CMA或CNAS认证的第三方检测机构的报告，在样品</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得分汇总时，加5分。</w:t>
      </w:r>
    </w:p>
    <w:p w14:paraId="4502829C">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（三）产品应用情况</w:t>
      </w:r>
    </w:p>
    <w:p w14:paraId="4D84A251">
      <w:pPr>
        <w:keepNext w:val="0"/>
        <w:keepLines w:val="0"/>
        <w:pageBreakBefore w:val="0"/>
        <w:widowControl/>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全国三级医院目前在用不少于10家。（提供合同及发票）</w:t>
      </w:r>
    </w:p>
    <w:p w14:paraId="0CD68820">
      <w:pPr>
        <w:keepNext w:val="0"/>
        <w:keepLines w:val="0"/>
        <w:pageBreakBefore w:val="0"/>
        <w:widowControl/>
        <w:numPr>
          <w:ilvl w:val="0"/>
          <w:numId w:val="1"/>
        </w:numPr>
        <w:suppressLineNumbers w:val="0"/>
        <w:shd w:val="clear"/>
        <w:kinsoku/>
        <w:wordWrap/>
        <w:overflowPunct/>
        <w:topLinePunct w:val="0"/>
        <w:autoSpaceDE/>
        <w:autoSpaceDN/>
        <w:bidi w:val="0"/>
        <w:adjustRightInd w:val="0"/>
        <w:snapToGrid w:val="0"/>
        <w:spacing w:line="500" w:lineRule="exact"/>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企业生产能力</w:t>
      </w:r>
    </w:p>
    <w:p w14:paraId="2E14D64E">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1.必须拥有一条及以上完整的乳胶手套生产联动线，集成以下核心模块（提供设备台账）：</w:t>
      </w:r>
    </w:p>
    <w:tbl>
      <w:tblPr>
        <w:tblStyle w:val="4"/>
        <w:tblW w:w="7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1"/>
      </w:tblGrid>
      <w:tr w14:paraId="1BF6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BD0A">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配料设备：搅拌机、过滤桶、真空脱泡机、胶液输送泵</w:t>
            </w:r>
          </w:p>
        </w:tc>
      </w:tr>
      <w:tr w14:paraId="7EEB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2CD4">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浸渍设备：机架、输送链条、浸渍槽、回收槽、滴下槽</w:t>
            </w:r>
          </w:p>
        </w:tc>
      </w:tr>
      <w:tr w14:paraId="0362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6C1A">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硫化干燥设备：塑化炉/烘箱</w:t>
            </w:r>
          </w:p>
        </w:tc>
      </w:tr>
      <w:tr w14:paraId="600C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B4AB">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后处理设备：冷却、卷唇、撒粉（或在线氯洗装置）、自动脱模、脱粉设备、吹检机设备</w:t>
            </w:r>
          </w:p>
        </w:tc>
      </w:tr>
    </w:tbl>
    <w:p w14:paraId="620FDE6C">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default"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2.提供承诺。承诺以下内容：</w:t>
      </w:r>
    </w:p>
    <w:p w14:paraId="0566DA38">
      <w:pPr>
        <w:pStyle w:val="3"/>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ind w:left="0" w:right="0" w:firstLine="640" w:firstLineChars="200"/>
        <w:jc w:val="left"/>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最大产能覆盖单线/多线合计月产能 ≥ 联盟预估月需求量的120%；关键工序（浸胶、硫化、脱模、包装）自动化率 ≥ 80%；主要生产设备月均完好率 ≥ 95%；洁净/环境等级</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ab/>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脱模及包装工序洁净度符合产品注册/国标要求（十万级净化标准）。</w:t>
      </w:r>
    </w:p>
    <w:p w14:paraId="6E65B9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71377"/>
    <w:multiLevelType w:val="singleLevel"/>
    <w:tmpl w:val="F50713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4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2026-06-10T08:58:49Z</dcterms:created>
  <dc:creator>cdeyy</dc:creator>
  <cp:lastModifiedBy>Wiwi</cp:lastModifiedBy>
  <dcterms:modified xsi:type="dcterms:W3CDTF">2026-06-10T08:59:01Z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eyJoZGlkIjoiZTk3NjViNzRlZjY2MDk1OWQ3MGY4NDExZTA3NWE3YTQiLCJ1c2VySWQiOiIxMDQ4MDI0NzQxIn0=</vt:lpwstr>
  </property>
  <property fmtid="{D5CDD505-2E9C-101B-9397-08002B2CF9AE}" pid="4" name="ICV">
    <vt:lpwstr>E3535C9A91B94017B8376D5883C88A6A_12</vt:lpwstr>
  </property>
</Properties>
</file>